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48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医疗评测常用实验设计与统计方法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2E75B6"/>
          <w:sz w:val="24"/>
          <w:szCs w:val="24"/>
        </w:rPr>
        <w:t xml:space="preserve">Clinical Evaluation: Experimental Design &amp; Statistical Methods</w:t>
      </w:r>
    </w:p>
    <w:p>
      <w:pPr>
        <w:pBdr>
          <w:bottom w:val="single" w:color="2E75B6" w:sz="6" w:space="1"/>
        </w:pBdr>
        <w:spacing w:after="600" w:before="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适用场景：临床研究 · 医疗器械评价 · 药物疗效对比 · 诊断准确性研究</w:t>
      </w:r>
    </w:p>
    <w:sdt>
      <w:sdtPr>
        <w:alias w:val="目录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spacing w:after="200" w:before="20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一、假设的种类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在医疗评测与临床研究中，假设用于确定研究方向、设计实验方案、选择统计方法，并限定结论的适用范围。研究者须在数据收集前明确假设类型，以保障研究的科学性与可重复性。</w:t>
      </w:r>
    </w:p>
    <w:p>
      <w:pPr>
        <w:spacing w:after="50" w:before="5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 统计检验假设</w:t>
      </w: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零假设（H₀）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零假设是最保守、研究者试图推翻的假设。通常表述为：预测变量之间不存在关系或差异，任何观测到的差异均由随机因素导致。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医疗场景示例：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药物A与药物B对2型糖尿病患者的空腹血糖控制效果无显著差异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新型影像诊断设备与金标准在肺结节检出率上无本质区别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接受护理干预组与对照组在压疮发生率方面差异无统计学意义</w:t>
      </w:r>
    </w:p>
    <w:p>
      <w:pPr>
        <w:spacing w:after="50" w:before="50"/>
      </w:pP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备择假设（H₁ 或 Hₐ）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与零假设对立，可分为有方向性和无方向性两类：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有方向性（单尾）：如"新型疗法的治愈率高于传统疗法"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无方向性（双尾）：如"两种麻醉方案的苏醒时间存在差异"</w:t>
      </w:r>
    </w:p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1.2 医疗评测目的与假设类型对照</w:t>
      </w:r>
    </w:p>
    <w:p>
      <w:pPr>
        <w:spacing w:after="50" w:before="50"/>
      </w:pPr>
    </w:p>
    <w:tbl>
      <w:tblPr>
        <w:tblW w:type="dxa" w:w="11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800"/>
        <w:gridCol w:w="2000"/>
        <w:gridCol w:w="2800"/>
      </w:tblGrid>
      <w:tr>
        <w:trPr>
          <w:tblHeader/>
        </w:trPr>
        <w:tc>
          <w:tcPr>
            <w:tcW w:type="dxa" w:w="2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评测目的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假设方向</w:t>
            </w:r>
          </w:p>
        </w:tc>
        <w:tc>
          <w:tcPr>
            <w:tcW w:type="dxa" w:w="2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典型研究问题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主要指标</w:t>
            </w:r>
          </w:p>
        </w:tc>
        <w:tc>
          <w:tcPr>
            <w:tcW w:type="dxa" w:w="2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统计与校正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疗效差异验证
（干预组 vs 对照组）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有方向 / 无方向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新药是否优于安慰剂？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有效率、生存期、HAMD评分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t检验 / Mann-Whitney U；效应量Cohen's 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医疗器械性能验证
（版本迭代效果）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有方向（非劣效 / 优效）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新版AI诊断模型准确率是否优于上一版本？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灵敏度、特异度、AUC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配对t检验 / Wilcoxon；DeLong法比较AUC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不良事件专项优化
（Badcase分析）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无方向，定位问题边界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哪类患者最易发生误诊？问题出在哪个环节？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误诊率、漏诊率、错误类型分布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Friedman检验；扎根理论编码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核心能力稳定性
（高分case保持）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无方向，验证稳定性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优化某一模块后，其余核心指标是否退步？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多次测试方差、标准差CV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重复测量ANOVA；多重比较校正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患者/用户需求分层
（核心 vs 非目标群体）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无方向，探索差异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不同病情严重程度患者对AI辅助诊断的满意度是否有差异？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满意度评分、NPS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独立样本t检验 / 卡方检验；ICC</w:t>
            </w:r>
          </w:p>
        </w:tc>
      </w:tr>
    </w:tbl>
    <w:p>
      <w:pPr>
        <w:spacing w:after="150" w:before="15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二、误差的种类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医疗评测中的误差会影响结论的可靠性。识别、控制并报告误差来源，是确保研究质量的核心要求。</w:t>
      </w:r>
    </w:p>
    <w:p>
      <w:pPr>
        <w:spacing w:after="50" w:before="50"/>
      </w:pP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600"/>
        <w:gridCol w:w="2000"/>
      </w:tblGrid>
      <w:tr>
        <w:trPr>
          <w:tblHeader/>
        </w:trPr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误差种类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详解</w:t>
            </w:r>
          </w:p>
        </w:tc>
        <w:tc>
          <w:tcPr>
            <w:tcW w:type="dxa" w:w="2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医疗场景举例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常用解决方案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过失误差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因操作粗心、记录错误导致的数据异常波动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护士录入患者体征数据时输入错误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质检复核；M ± 3SD 识别异常值，需提供说明或剔除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随机误差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评测过程中偶然因素或评分者主观因素导致的分数波动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同一患者不同时间段的疼痛评分存在波动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多次评测取均值；尽可能固定评测环境与条件（排除非研究核心的干扰变量，如情绪状态、设备连接质量等）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系统误差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固定来源的偏差，如评测方案本身设计缺陷；若评分者间一致性低但内部一致性高，说明评分指引存在问题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所有研究者均未将某类症状纳入评分标准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基线设计尽量平衡；修正评分指引；系统误差通常不可完全消除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顺序效应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因呈现顺序影响评分，先后看到的样本互相干扰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评审者在先看到优质影像后，对后续普通影像评分偏低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拉丁方设计平衡顺序；A/B两组对半交叉（一半先看A后看B，另一半反之）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题材偏好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评分者因个人专业背景或偏好对特定病种/主题打分客观性降低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擅长心内科的评审者对心电图解读评分更宽松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分层随机抽样；评审者能力画像与评分主题分离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评分宽严度 / 趋中倾向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评分者习惯性整体偏高或偏低；倾向于选中间分值，区分度下降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部分临床评审者给所有病例均打7/10分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多面Rasch模型（MFRM）校正宽严度；宽严系数过高则加强培训或更换评审者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练习与疲劳效应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疲劳：多次评测后标准变随意，分数下降；练习：熟悉题目后标准提高，分数上升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长期参与评测的医师在第50例后评分标准显著松弛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混合效应模型同时处理固定效应与随机效应；更换题库及评测人员；合理控制单次评测量</w:t>
            </w:r>
          </w:p>
        </w:tc>
      </w:tr>
    </w:tbl>
    <w:p>
      <w:pPr>
        <w:spacing w:after="150" w:before="15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三、常用实验设计类型与用途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选择合适的实验设计是控制误差、提高统计效力的关键。以下是医疗评测中最常用的四类设计方案及其适用场景。</w:t>
      </w:r>
    </w:p>
    <w:p>
      <w:pPr>
        <w:spacing w:after="50" w:before="5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 基础设计类型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2000"/>
        <w:gridCol w:w="2000"/>
        <w:gridCol w:w="2400"/>
      </w:tblGrid>
      <w:tr>
        <w:trPr>
          <w:tblHeader/>
        </w:trPr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实验设计类型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核心原理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主要优点</w:t>
            </w:r>
          </w:p>
        </w:tc>
        <w:tc>
          <w:tcPr>
            <w:tcW w:type="dxa" w:w="2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主要缺点</w:t>
            </w:r>
          </w:p>
        </w:tc>
        <w:tc>
          <w:tcPr>
            <w:tcW w:type="dxa" w:w="2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医疗适用场景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被试内设计
（Within-Subjects）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同一评测者 / 患者，在多个条件下重复测量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消除个体差异，统计效力高，所需样本量少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顺序效应、练习 / 疲劳效应；需更长的洗脱期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同一患者先后接受两种诊断方案；同一评审者评估多版本AI报告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被试间设计
（Between-Subjects）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不同评测者分别评估不同条件（不同组别）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避免顺序与练习效应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需要更大样本量；随机误差增大；难以控制组间个体差异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不同病情严重程度患者对比；不同科室医护人员满意度对比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混合实验设计
（Mixed Design）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部分因素被试内，部分因素被试间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兼顾效率与控制力，适合多版本 × 多评审者场景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设计与分析复杂度高；仍存在被试内的顺序效应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多科室 × 多版本AI诊断工具对比评测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拉丁方设计
（Latin Square）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每位评测者只评部分条件，但整体上每个条件被各顺序评过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平衡顺序效应，提高实验效率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处理数与被试数须匹配；不适合因素间有交互作用的研究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多版本诊断系统 × 多题目 × 多评审者的循环对比</w:t>
            </w:r>
          </w:p>
        </w:tc>
      </w:tr>
    </w:tbl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 混合实验设计示意（推荐用于医疗版本迭代评测）</w:t>
      </w:r>
    </w:p>
    <w:p>
      <w:pPr>
        <w:spacing w:after="50" w:before="50"/>
      </w:pP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混合实验设计02：每位评审者均测所有题目，跨版本比较，可输出一致性、减少误差并支持推论。</w:t>
      </w:r>
    </w:p>
    <w:p>
      <w:pPr>
        <w:spacing w:after="50" w:before="50"/>
      </w:pP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2600"/>
      </w:tblGrid>
      <w:tr>
        <w:trPr>
          <w:tblHeader/>
        </w:trPr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病例1</w:t>
            </w:r>
          </w:p>
        </w:tc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病例2</w:t>
            </w:r>
          </w:p>
        </w:tc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病例3</w:t>
            </w:r>
          </w:p>
        </w:tc>
        <w:tc>
          <w:tcPr>
            <w:tcW w:type="dxa" w:w="2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用途说明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版本A（旧）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评审者甲乙丙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评审者甲乙丙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评审者甲乙丙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平衡个体差异，可输出跨版本均值差异与一致性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版本B（新）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评审者甲乙丙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评审者甲乙丙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评审者甲乙丙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与版本A配对比较，支持配对t检验或Wilcoxon</w:t>
            </w:r>
          </w:p>
        </w:tc>
      </w:tr>
    </w:tbl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3.3 样本量与统计功效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功效分析：实验开始前，通过功效分析预估所需最小样本量，需明确效应量（Effect Size）、显著性水平（α=0.05）、统计功效（1−β=0.80）三项参数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G*Power：免费学术软件，支持t检验、ANOVA、卡方检验等多种实验设计的样本量计算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原则：样本量过小易导致第二类错误（漏报真实差异）；样本量过大则浪费资源，且可能将临床上微不足道的差异放大为统计显著</w:t>
      </w:r>
    </w:p>
    <w:p>
      <w:pPr>
        <w:spacing w:after="150" w:before="15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四、常用统计方法</w:t>
      </w:r>
    </w:p>
    <w:p>
      <w:pPr>
        <w:spacing w:after="50" w:before="5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4.1 评分者一致性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用于衡量不同评审者（如医师、评测员）对同一病例进行评分时的一致程度，是医疗评测质量的核心指标。</w:t>
      </w:r>
    </w:p>
    <w:p>
      <w:pPr>
        <w:spacing w:after="50" w:before="50"/>
      </w:pP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00"/>
      </w:tblGrid>
      <w:tr>
        <w:trPr>
          <w:tblHeader/>
        </w:trPr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指标</w:t>
            </w:r>
          </w:p>
        </w:tc>
        <w:tc>
          <w:tcPr>
            <w:tcW w:type="dxa" w:w="3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适用场景</w:t>
            </w:r>
          </w:p>
        </w:tc>
        <w:tc>
          <w:tcPr>
            <w:tcW w:type="dxa" w:w="33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范围解读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Cohen's Kappa（κ）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两名评分者，分类数据（如阳性/阴性、轻/中/重度）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&lt;0.20 轻微  0.21-0.40 一般  0.41-0.60 中等  0.61-0.80 显著  0.81-1.00 完美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肯德尔和谐系数（W）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多组评分者，有序等级数据（如疼痛评分排名）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&lt;0.2 较差  0.2-0.4 一般  0.4-0.6 中等  0.6-0.8 较强  0.8-1.0 很强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组内相关系数（ICC）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两名或以上评分者，连续型数据（如李克特量表评分、VAS疼痛评分）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&lt;0.5 差  0.5-0.75 中等  0.75-0.90 良好  &gt;0.90 优秀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RWG组内评分者一致性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评分者来自不同团体（如外部专家与内部医师均评同一病例）；跨层检验场景</w:t>
            </w:r>
          </w:p>
        </w:tc>
        <w:tc>
          <w:tcPr>
            <w:tcW w:type="dxa" w:w="3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Rwg&gt;0.5 中等  Rwg&gt;0.7 高  Rwg&gt;0.9 极高；ICC1/ICC2&gt;0.5 视为可接受</w:t>
            </w:r>
          </w:p>
        </w:tc>
      </w:tr>
    </w:tbl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4.2 差异检验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用于判断不同组别（如不同治疗方案、不同版本诊断系统）之间的差异是否具有统计学意义。</w:t>
      </w:r>
    </w:p>
    <w:p>
      <w:pPr>
        <w:spacing w:after="50" w:before="50"/>
      </w:pP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参数检验（适用于正态分布、连续型数据）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独立样本 t 检验：被试间设计，比较两组均值（如对照组 vs 干预组的血压变化）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配对样本 t 检验：被试内设计，同一患者 / 评审者在两个条件下的配对比较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单因素 ANOVA：比较三个及以上组的均值（如A/B/C三种治疗方案的疗效）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重复测量 ANOVA：被试内设计，比较多个时间点或条件下的均值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混合 ANOVA：包含被试间与被试内两种因素的综合分析</w:t>
      </w:r>
    </w:p>
    <w:p>
      <w:pPr>
        <w:spacing w:after="50" w:before="50"/>
      </w:pP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非参数检验（适用于非正态分布或等级数据）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Mann-Whitney U 检验：对应独立样本 t 检验（如两组患者满意度等级比较）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Wilcoxon 符号秩检验：对应配对样本 t 检验（如同一患者治疗前后VAS评分比较）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Kruskal-Wallis 检验：对应单因素 ANOVA（如多科室患者疼痛等级比较）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Friedman 检验：对应重复测量 ANOVA（如同一评审者评估多版本诊断系统）</w:t>
      </w:r>
    </w:p>
    <w:p>
      <w:pPr>
        <w:spacing w:after="50" w:before="50"/>
      </w:pP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多重比较校正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当同时比较多个组别时（如三种方案两两比较），需进行多重比较校正，以控制整体一类错误率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常用方法：Bonferroni 校正（保守）、Tukey HSD（均值差异检验）、FDR控制（大规模检验适用）</w:t>
      </w:r>
    </w:p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4.3 效应量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效应量独立于样本量，比p值更能反映差异或关联的实践意义，是临床意义判断的核心依据。</w:t>
      </w:r>
    </w:p>
    <w:p>
      <w:pPr>
        <w:spacing w:after="50" w:before="50"/>
      </w:pP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1500"/>
        <w:gridCol w:w="1700"/>
        <w:gridCol w:w="1300"/>
      </w:tblGrid>
      <w:tr>
        <w:trPr>
          <w:tblHeader/>
        </w:trPr>
        <w:tc>
          <w:tcPr>
            <w:tcW w:type="dxa" w:w="2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效应量指标</w:t>
            </w:r>
          </w:p>
        </w:tc>
        <w:tc>
          <w:tcPr>
            <w:tcW w:type="dxa" w:w="2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适用场景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小效应</w:t>
            </w:r>
          </w:p>
        </w:tc>
        <w:tc>
          <w:tcPr>
            <w:tcW w:type="dxa" w:w="17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中等效应</w:t>
            </w:r>
          </w:p>
        </w:tc>
        <w:tc>
          <w:tcPr>
            <w:tcW w:type="dxa" w:w="13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大效应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Cohen's d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两组均值差异（t检验对应）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0.8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偏 eta 方（η²p）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ANOVA中某因素解释的方差比例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0.01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0.06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0.14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相关系数 r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两个连续变量间的线性关系强度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&lt;0.3 弱相关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0.3-0.7 适中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0.75-1.0 高相关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Odds Ratio（OR）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二分类结局的两组风险比（病例对照研究）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接近1.0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1.5-2.5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&gt;3.0（或&lt;0.33）</w:t>
            </w:r>
          </w:p>
        </w:tc>
      </w:tr>
    </w:tbl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4.4 项目反应理论（IRT）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适用于医疗评测中的量表开发与题目质量分析，判断每道评测题目的区分能力与难度水平。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难度系数：题目特征曲线（ICC）的拐点位置，反映题目区分优秀与普通被评对象的难度水平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区分度：反映题目区分高能力与低能力被评者的效力（越高越好）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猜测率：被评者猜测正确的概率（ICC曲线下渐近线），3PL/4PL模型可估算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Rasch模型（01评分）：计算答对率→对数转化→迭代求最大似然估计→输出能力值与题目难度值</w:t>
      </w:r>
    </w:p>
    <w:p>
      <w:pPr>
        <w:spacing w:after="100" w:before="1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4.5 定性分析方法</w:t>
      </w: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情感分析与主题分析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情感分析：自动化识别患者反馈 / 评审意见中的情感倾向（积极、消极、中性），适用于大批量文本数据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主题分析：识别、分析并报告数据中的规律（主题），用于归纳不良事件类型或患者诉求</w:t>
      </w:r>
    </w:p>
    <w:p>
      <w:pPr>
        <w:spacing w:after="50" w:before="50"/>
      </w:pPr>
    </w:p>
    <w:p>
      <w:pPr>
        <w:pStyle w:val="Heading3"/>
        <w:spacing w:after="100" w:before="180"/>
      </w:pPr>
      <w:r>
        <w:rPr>
          <w:rFonts w:ascii="Arial" w:cs="Arial" w:eastAsia="Arial" w:hAnsi="Arial"/>
          <w:b/>
          <w:bCs/>
          <w:color w:val="2F5496"/>
          <w:sz w:val="24"/>
          <w:szCs w:val="24"/>
        </w:rPr>
        <w:t xml:space="preserve">扎根理论编码（Grounded Theory）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开放式编码：逐字逐句概念化与范畴化，形成初始标签（如：信息传达不清晰、操作步骤繁琐等）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轴心编码：围绕核心范畴，建立各标签之间的关系网络（因果、时序、功能等）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选择性编码：选出核心范畴，系统整合并验证，形成可解释现象的理论框架</w:t>
      </w:r>
    </w:p>
    <w:p>
      <w:pPr>
        <w:spacing w:after="150" w:before="150"/>
      </w:pP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五、返回验证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医疗评测不应是一次性任务，而应建立持续监控体系，确保评测结论的稳定性与评测体系本身的可靠性。</w:t>
      </w:r>
    </w:p>
    <w:p>
      <w:pPr>
        <w:spacing w:after="50" w:before="5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 回归测试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在对某一诊断模型或临床流程进行专项优化后，对所有核心能力进行全面复测，以确保改动未对原有功能产生负面影响。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流程：选用标准化的、覆盖所有关键评测维度的基线测试集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每次模型更新或流程变更后，运行该测试集并与基线对比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超出阈值（如AUC下降&gt;0.02）则触发问题排查与版本回滚评估</w:t>
      </w:r>
    </w:p>
    <w:p>
      <w:pPr>
        <w:spacing w:after="50" w:before="5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 版本迭代复测</w:t>
      </w:r>
    </w:p>
    <w:p>
      <w:pPr>
        <w:spacing w:after="100" w:before="80"/>
      </w:pPr>
      <w:r>
        <w:rPr>
          <w:rFonts w:ascii="Arial" w:cs="Arial" w:eastAsia="Arial" w:hAnsi="Arial"/>
          <w:sz w:val="22"/>
          <w:szCs w:val="22"/>
        </w:rPr>
        <w:t xml:space="preserve">在不同时间点对同一版本的诊断系统或评测方案进行重复评估，以检验评估体系自身的稳定性。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若两次评估结果差异悬殊（如ICC&lt;0.5），优先排查评测流程问题（如评分者培训不足、量表歧义）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定期开展评分者锚定训练（Calibration Session），防止评分标准随时间发生漂移</w:t>
      </w:r>
    </w:p>
    <w:p>
      <w:pPr>
        <w:spacing w:after="50" w:before="5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5.3 常用稳定性指标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600"/>
        <w:gridCol w:w="1900"/>
      </w:tblGrid>
      <w:tr>
        <w:trPr>
          <w:tblHeader/>
        </w:trPr>
        <w:tc>
          <w:tcPr>
            <w:tcW w:type="dxa" w:w="2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指标</w:t>
            </w:r>
          </w:p>
        </w:tc>
        <w:tc>
          <w:tcPr>
            <w:tcW w:type="dxa" w:w="2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含义</w:t>
            </w:r>
          </w:p>
        </w:tc>
        <w:tc>
          <w:tcPr>
            <w:tcW w:type="dxa" w:w="2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适用场景</w:t>
            </w:r>
          </w:p>
        </w:tc>
        <w:tc>
          <w:tcPr>
            <w:tcW w:type="dxa" w:w="19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参考标准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变异系数（CV）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评分离散程度的相对大小（标准差/均值×100%）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对比不同题库或不同版本评分稳定性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CV&lt;15% 稳定；&gt;30% 需关注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MOS分（Mean Opinion Score）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评审者对整体质量的平均主观评分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AI诊断报告质量、语音合成质量等主观评测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通常1-5分，4.0以上视为良好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Elo等级分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基于胜负对比动态更新能力排名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多模型两两对比竞争排名场景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分差&gt;100 视为显著性能差距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成对比较法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让评审者在两个选项中强制选择优劣，统计胜率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难以设计绝对评分量表时的偏好评测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胜率&gt;60%通常具有临床意义</w:t>
            </w:r>
          </w:p>
        </w:tc>
      </w:tr>
    </w:tbl>
    <w:p>
      <w:pPr>
        <w:spacing w:after="200" w:before="200"/>
      </w:pPr>
    </w:p>
    <w:p>
      <w:pPr>
        <w:pBdr>
          <w:top w:val="single" w:color="2E75B6" w:sz="4" w:space="4"/>
        </w:pBdr>
        <w:spacing w:after="120" w:before="36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本文档适用于医疗AI评测、临床研究设计及医疗器械性能验证场景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1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第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</w:pPr>
    <w:r>
      <w:rPr>
        <w:rFonts w:ascii="Arial" w:cs="Arial" w:eastAsia="Arial" w:hAnsi="Arial"/>
        <w:b/>
        <w:bCs/>
        <w:color w:val="2E75B6"/>
        <w:sz w:val="20"/>
        <w:szCs w:val="20"/>
      </w:rPr>
      <w:t xml:space="preserve">医疗评测常用实验设计与统计方法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Arial" w:cs="Arial" w:eastAsia="Arial" w:hAnsi="Arial"/>
      <w:b/>
      <w:bCs/>
      <w:color w:val="2F549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2026-06-27T07:26:58.899Z</dcterms:created>
  <dcterms:modified xsi:type="dcterms:W3CDTF">2026-06-27T07:26:58.900Z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